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Prijava uočene izborne nepravilnosti</w:t>
      </w:r>
    </w:p>
    <w:p>
      <w:pPr>
        <w:pStyle w:val="Subtitle"/>
      </w:pPr>
      <w:r>
        <w:t>Obaveštenje građanina policiji ili nadležnom javnom tužilaštvu</w:t>
      </w:r>
    </w:p>
    <w:p>
      <w:pPr>
        <w:keepNext w:val="0"/>
        <w:keepLines/>
        <w:spacing w:before="0" w:after="120"/>
      </w:pPr>
      <w:r>
        <w:rPr>
          <w:b w:val="0"/>
          <w:sz w:val="19"/>
        </w:rPr>
        <w:t>Navedite konkretne činjenice i okolnosti. Ne morate sami određivati krivično delo ili prekršaj. Nadležni organ ocenjuje sadržaj podneska i način daljeg postupanja.</w:t>
      </w:r>
    </w:p>
    <w:p>
      <w:pPr>
        <w:pStyle w:val="Heading1"/>
      </w:pPr>
      <w:r>
        <w:t>1 Primalac i podnosilac</w:t>
      </w:r>
    </w:p>
    <w:p>
      <w:pPr>
        <w:keepLines/>
        <w:spacing w:after="100"/>
      </w:pPr>
      <w:r>
        <w:rPr>
          <w:b/>
        </w:rPr>
        <w:t xml:space="preserve">Primalac </w:t>
      </w:r>
      <w:r>
        <w:rPr>
          <w:rFonts w:ascii="DejaVu Sans" w:hAnsi="DejaVu Sans"/>
          <w:sz w:val="23"/>
        </w:rPr>
        <w:t xml:space="preserve">☐ </w:t>
      </w:r>
      <w:r>
        <w:rPr>
          <w:sz w:val="21"/>
        </w:rPr>
        <w:t>Policija / MUP</w:t>
      </w:r>
      <w:r>
        <w:t xml:space="preserve">    </w:t>
      </w:r>
      <w:r>
        <w:rPr>
          <w:rFonts w:ascii="DejaVu Sans" w:hAnsi="DejaVu Sans"/>
          <w:sz w:val="23"/>
        </w:rPr>
        <w:t xml:space="preserve">☐ </w:t>
      </w:r>
      <w:r>
        <w:rPr>
          <w:sz w:val="21"/>
        </w:rPr>
        <w:t>Nadležno javno tužilaštvo</w:t>
      </w:r>
    </w:p>
    <w:p>
      <w:pPr>
        <w:keepLines/>
        <w:spacing w:after="100"/>
      </w:pPr>
      <w:r>
        <w:rPr>
          <w:b/>
        </w:rPr>
        <w:t xml:space="preserve">Naziv organa i mesto </w:t>
      </w:r>
      <w:r>
        <w:t>________________________________________________________</w:t>
      </w:r>
    </w:p>
    <w:p>
      <w:pPr>
        <w:keepLines/>
        <w:spacing w:after="100"/>
      </w:pPr>
      <w:r>
        <w:rPr>
          <w:b/>
        </w:rPr>
        <w:t xml:space="preserve">Ime i prezime podnosioca </w:t>
      </w:r>
      <w:r>
        <w:t>_____________________________________________________</w:t>
      </w:r>
    </w:p>
    <w:p>
      <w:pPr>
        <w:keepLines/>
        <w:spacing w:after="100"/>
      </w:pPr>
      <w:r>
        <w:rPr>
          <w:b/>
        </w:rPr>
        <w:t xml:space="preserve">Adresa za kontakt i odgovor </w:t>
      </w:r>
      <w:r>
        <w:t>___________________________________________________</w:t>
      </w:r>
    </w:p>
    <w:p>
      <w:pPr>
        <w:keepLines/>
        <w:spacing w:after="100"/>
      </w:pPr>
      <w:r>
        <w:rPr>
          <w:b/>
        </w:rPr>
        <w:t xml:space="preserve">Telefon ili imejl po izboru </w:t>
      </w:r>
      <w:r>
        <w:t>_____________________________________________________</w:t>
      </w:r>
    </w:p>
    <w:p>
      <w:pPr>
        <w:pStyle w:val="Heading1"/>
      </w:pPr>
      <w:r>
        <w:t>2 Mesto i vreme događaja</w:t>
      </w:r>
    </w:p>
    <w:p>
      <w:pPr>
        <w:keepNext w:val="0"/>
        <w:keepLines/>
        <w:spacing w:before="0" w:after="100"/>
      </w:pPr>
      <w:r>
        <w:rPr>
          <w:b/>
        </w:rPr>
        <w:t>Izbori: parlamentarni izbori u Srbiji. Datum glasanja: 25.10.2026.</w:t>
      </w:r>
    </w:p>
    <w:p>
      <w:pPr>
        <w:keepLines/>
        <w:spacing w:after="100"/>
      </w:pPr>
      <w:r>
        <w:rPr>
          <w:b/>
        </w:rPr>
        <w:t xml:space="preserve">Broj i naziv biračkog mesta </w:t>
      </w:r>
      <w:r>
        <w:t>_____________________________________________________</w:t>
      </w:r>
    </w:p>
    <w:p>
      <w:pPr>
        <w:keepLines/>
        <w:spacing w:after="100"/>
      </w:pPr>
      <w:r>
        <w:rPr>
          <w:b/>
        </w:rPr>
        <w:t xml:space="preserve">Adresa ili precizna lokacija </w:t>
      </w:r>
      <w:r>
        <w:t>_____________________________________________________</w:t>
      </w:r>
    </w:p>
    <w:p>
      <w:pPr>
        <w:keepLines/>
        <w:spacing w:after="100"/>
      </w:pPr>
      <w:r>
        <w:rPr>
          <w:b/>
        </w:rPr>
        <w:t xml:space="preserve">Opština i grad </w:t>
      </w:r>
      <w:r>
        <w:t>____________________________  Država ___________________________</w:t>
      </w:r>
    </w:p>
    <w:p>
      <w:pPr>
        <w:keepLines/>
        <w:spacing w:after="100"/>
      </w:pPr>
      <w:r>
        <w:rPr>
          <w:b/>
        </w:rPr>
        <w:t xml:space="preserve">Datum događaja </w:t>
      </w:r>
      <w:r>
        <w:t>________________  Vreme od __________ do __________  Zona __________</w:t>
      </w:r>
    </w:p>
    <w:p>
      <w:pPr>
        <w:keepLines/>
        <w:spacing w:after="100"/>
      </w:pPr>
      <w:r>
        <w:rPr>
          <w:b/>
        </w:rPr>
        <w:t xml:space="preserve">Kratak naziv uočene nepravilnosti </w:t>
      </w:r>
      <w:r>
        <w:t>________________________________________________</w:t>
      </w:r>
    </w:p>
    <w:p>
      <w:pPr>
        <w:keepLines/>
        <w:spacing w:after="100"/>
      </w:pPr>
      <w:r>
        <w:rPr>
          <w:b/>
        </w:rPr>
        <w:t xml:space="preserve">Broj ili kategorija sa portala po izboru </w:t>
      </w:r>
      <w:r>
        <w:t>____________________________________________</w:t>
      </w:r>
    </w:p>
    <w:p>
      <w:pPr>
        <w:pStyle w:val="Heading1"/>
      </w:pPr>
      <w:r>
        <w:t>3 Činjenice koje sam neposredno opazio</w:t>
      </w:r>
    </w:p>
    <w:p>
      <w:pPr>
        <w:keepNext w:val="0"/>
        <w:keepLines/>
        <w:spacing w:before="0" w:after="60"/>
      </w:pPr>
      <w:r>
        <w:rPr>
          <w:b w:val="0"/>
          <w:sz w:val="19"/>
        </w:rPr>
        <w:t>Opišite šta ste lično videli ili čuli, ko je šta radio, gde, kada i kojim redosledom. Navedite tačne reči ako ih pamtite. Sumnju ili procenu jasno označite; tuđe navode izdvojte na drugoj strani.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4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keepNext w:val="0"/>
        <w:keepLines/>
        <w:spacing w:before="100" w:after="0"/>
      </w:pPr>
      <w:r>
        <w:rPr>
          <w:b w:val="0"/>
          <w:sz w:val="18"/>
        </w:rPr>
        <w:t>Ako nema dovoljno prostora, dodajte potpisan nastavak sa svojim imenom i brojem strane.</w:t>
      </w:r>
    </w:p>
    <w:p>
      <w:pPr>
        <w:spacing w:after="0" w:before="0"/>
      </w:pPr>
      <w:r>
        <w:br w:type="page"/>
      </w:r>
    </w:p>
    <w:p>
      <w:pPr>
        <w:keepNext w:val="0"/>
        <w:keepLines/>
        <w:spacing w:before="0" w:after="100"/>
      </w:pPr>
      <w:r>
        <w:rPr>
          <w:b/>
          <w:sz w:val="26"/>
        </w:rPr>
        <w:t>Nastavak prijave uočene izborne nepravilnosti</w:t>
      </w:r>
    </w:p>
    <w:p>
      <w:pPr>
        <w:keepLines/>
        <w:spacing w:after="60"/>
      </w:pPr>
      <w:r>
        <w:rPr>
          <w:b/>
        </w:rPr>
        <w:t xml:space="preserve">Ime i prezime podnosioca </w:t>
      </w:r>
      <w:r>
        <w:t>_____________________________________________________</w:t>
      </w:r>
    </w:p>
    <w:p>
      <w:pPr>
        <w:pStyle w:val="Heading1"/>
      </w:pPr>
      <w:r>
        <w:t>4 Saznanja od drugih lica</w:t>
      </w:r>
    </w:p>
    <w:p>
      <w:pPr>
        <w:keepNext w:val="0"/>
        <w:keepLines/>
        <w:spacing w:before="0" w:after="40"/>
      </w:pPr>
      <w:r>
        <w:rPr>
          <w:b w:val="0"/>
          <w:sz w:val="19"/>
        </w:rPr>
        <w:t>Odvojeno navedite šta Vam je neko saopštio, ko, kada i na koji način. Ako nemate takva saznanja, napišite „nema”.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pStyle w:val="Heading1"/>
      </w:pPr>
      <w:r>
        <w:t>5 Lica koja mogu pomoći proveri</w:t>
      </w:r>
    </w:p>
    <w:p>
      <w:pPr>
        <w:keepNext w:val="0"/>
        <w:keepLines/>
        <w:spacing w:before="0" w:after="20"/>
      </w:pPr>
      <w:r>
        <w:rPr>
          <w:b w:val="0"/>
          <w:sz w:val="19"/>
        </w:rPr>
        <w:t>Uključena lica i njihove uloge ili opis. Identitet navedite samo ako Vam je poznat; ne iznosite zaključak o krivici.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keepNext w:val="0"/>
        <w:keepLines/>
        <w:spacing w:before="100" w:after="20"/>
      </w:pPr>
      <w:r>
        <w:rPr>
          <w:b w:val="0"/>
          <w:sz w:val="19"/>
        </w:rPr>
        <w:t>Svedoci i kontakt ako je poznat. Navedite i kako ste došli do podatka o kontaktu.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pStyle w:val="Heading1"/>
      </w:pPr>
      <w:r>
        <w:t>6 Prilozi i ranije obraćanje</w:t>
      </w:r>
    </w:p>
    <w:p>
      <w:pPr>
        <w:keepNext w:val="0"/>
        <w:keepLines/>
        <w:spacing w:before="0" w:after="80"/>
      </w:pPr>
      <w:r>
        <w:rPr>
          <w:b w:val="0"/>
          <w:sz w:val="19"/>
        </w:rPr>
        <w:t>Navedite naziv ili opis priloga, gde se nalazi, izvor i vreme nastanka ako su poznati. Ako priloga nema, napišite „nema”.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499"/>
        <w:gridCol w:w="3798"/>
      </w:tblGrid>
      <w:tr>
        <w:trPr>
          <w:tblHeader/>
          <w:cantSplit/>
        </w:trPr>
        <w:tc>
          <w:tcPr>
            <w:tcW w:type="dxa" w:w="567"/>
            <w:shd w:fill="F0F0F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  <w:jc w:val="center"/>
            </w:pPr>
            <w:r>
              <w:rPr>
                <w:b/>
                <w:sz w:val="19"/>
              </w:rPr>
              <w:t>Br</w:t>
            </w:r>
          </w:p>
        </w:tc>
        <w:tc>
          <w:tcPr>
            <w:tcW w:type="dxa" w:w="5499"/>
            <w:shd w:fill="F0F0F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  <w:r>
              <w:rPr>
                <w:b/>
                <w:sz w:val="19"/>
              </w:rPr>
              <w:t>Naziv ili opis priloga i lokacija</w:t>
            </w:r>
          </w:p>
        </w:tc>
        <w:tc>
          <w:tcPr>
            <w:tcW w:type="dxa" w:w="3798"/>
            <w:shd w:fill="F0F0F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  <w:r>
              <w:rPr>
                <w:b/>
                <w:sz w:val="19"/>
              </w:rPr>
              <w:t>Izvor i datum ili vreme nastanka</w:t>
            </w:r>
          </w:p>
        </w:tc>
      </w:tr>
      <w:tr>
        <w:trPr>
          <w:trHeight w:val="454" w:hRule="atLeast"/>
          <w:cantSplit/>
        </w:trPr>
        <w:tc>
          <w:tcPr>
            <w:tcW w:type="dxa" w:w="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549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</w:p>
        </w:tc>
        <w:tc>
          <w:tcPr>
            <w:tcW w:type="dxa" w:w="37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</w:p>
        </w:tc>
      </w:tr>
      <w:tr>
        <w:trPr>
          <w:trHeight w:val="454" w:hRule="atLeast"/>
          <w:cantSplit/>
        </w:trPr>
        <w:tc>
          <w:tcPr>
            <w:tcW w:type="dxa" w:w="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549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</w:p>
        </w:tc>
        <w:tc>
          <w:tcPr>
            <w:tcW w:type="dxa" w:w="37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</w:p>
        </w:tc>
      </w:tr>
      <w:tr>
        <w:trPr>
          <w:trHeight w:val="454" w:hRule="atLeast"/>
          <w:cantSplit/>
        </w:trPr>
        <w:tc>
          <w:tcPr>
            <w:tcW w:type="dxa" w:w="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type="dxa" w:w="549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</w:p>
        </w:tc>
        <w:tc>
          <w:tcPr>
            <w:tcW w:type="dxa" w:w="37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line="240" w:lineRule="auto"/>
            </w:pPr>
          </w:p>
        </w:tc>
      </w:tr>
    </w:tbl>
    <w:p>
      <w:pPr>
        <w:keepNext w:val="0"/>
        <w:keepLines/>
        <w:spacing w:before="120" w:after="20"/>
      </w:pPr>
      <w:r>
        <w:rPr>
          <w:b w:val="0"/>
          <w:sz w:val="19"/>
        </w:rPr>
        <w:t>Već preduzete radnje ili obraćanja: kome, kog datuma, šta je prijavljeno i broj predmeta ako postoji.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spacing w:before="0" w:after="0" w:line="320" w:lineRule="exact"/>
        <w:pBdr>
          <w:bottom w:val="single" w:sz="4" w:color="D9D9D9" w:space="1"/>
          <w:between w:val="single" w:sz="4" w:color="D9D9D9" w:space="1"/>
        </w:pBdr>
      </w:pPr>
      <w:r>
        <w:t xml:space="preserve"> </w:t>
      </w:r>
    </w:p>
    <w:p>
      <w:pPr>
        <w:pStyle w:val="Heading1"/>
      </w:pPr>
      <w:r>
        <w:t>7 Zahtev nadležnom organu</w:t>
      </w:r>
    </w:p>
    <w:p>
      <w:pPr>
        <w:keepNext w:val="0"/>
        <w:keepLines/>
        <w:spacing w:before="0" w:after="100"/>
      </w:pPr>
      <w:r>
        <w:rPr>
          <w:b w:val="0"/>
        </w:rPr>
        <w:t>Molim da evidentirate ovo obaveštenje, proverite navedene činjenice i postupite u okviru svojih ovlašćenja. Ako niste nadležni, molim da podnesak prosledite nadležnom organu i obavestite me kome je prosleđen.</w:t>
      </w:r>
    </w:p>
    <w:p>
      <w:pPr>
        <w:keepLines/>
        <w:spacing w:after="100"/>
      </w:pPr>
      <w:r>
        <w:rPr>
          <w:b/>
        </w:rPr>
        <w:t xml:space="preserve">Odgovor tražim </w:t>
      </w:r>
      <w:r>
        <w:rPr>
          <w:rFonts w:ascii="DejaVu Sans" w:hAnsi="DejaVu Sans"/>
          <w:sz w:val="21"/>
        </w:rPr>
        <w:t xml:space="preserve">☐ </w:t>
      </w:r>
      <w:r>
        <w:rPr>
          <w:sz w:val="19"/>
        </w:rPr>
        <w:t>Poštom na navedenu adresu</w:t>
      </w:r>
      <w:r>
        <w:t xml:space="preserve">    </w:t>
      </w:r>
      <w:r>
        <w:rPr>
          <w:rFonts w:ascii="DejaVu Sans" w:hAnsi="DejaVu Sans"/>
          <w:sz w:val="21"/>
        </w:rPr>
        <w:t xml:space="preserve">☐ </w:t>
      </w:r>
      <w:r>
        <w:rPr>
          <w:sz w:val="19"/>
        </w:rPr>
        <w:t>Imejlom na navedenu adresu</w:t>
      </w:r>
    </w:p>
    <w:p>
      <w:pPr>
        <w:keepLines/>
        <w:spacing w:after="100"/>
      </w:pPr>
      <w:r>
        <w:rPr>
          <w:b/>
        </w:rPr>
        <w:t xml:space="preserve">Broj dodatnih listova </w:t>
      </w:r>
      <w:r>
        <w:t>________  Broj priloga ________</w:t>
      </w:r>
    </w:p>
    <w:p>
      <w:pPr>
        <w:keepLines/>
        <w:spacing w:after="60"/>
      </w:pPr>
      <w:r>
        <w:rPr>
          <w:b/>
        </w:rPr>
        <w:t xml:space="preserve">Mesto i datum podnošenja </w:t>
      </w:r>
      <w:r>
        <w:t>_______________________  Potpis ______________________</w:t>
      </w:r>
    </w:p>
    <w:p>
      <w:pPr>
        <w:keepNext w:val="0"/>
        <w:keepLines/>
        <w:spacing w:before="0" w:after="0"/>
      </w:pPr>
      <w:r>
        <w:rPr>
          <w:b w:val="0"/>
          <w:sz w:val="18"/>
        </w:rPr>
        <w:t>Potpis se odnosi na obe strane obrasca i označene dodatne listove.</w:t>
      </w:r>
    </w:p>
    <w:p>
      <w:pPr>
        <w:spacing w:after="0" w:before="0"/>
      </w:pPr>
      <w:r>
        <w:br w:type="page"/>
      </w:r>
    </w:p>
    <w:p>
      <w:pPr>
        <w:pStyle w:val="Title"/>
      </w:pPr>
      <w:r>
        <w:t>Uputstvo za popunjavanje i predaju</w:t>
      </w:r>
    </w:p>
    <w:p>
      <w:pPr>
        <w:keepNext w:val="0"/>
        <w:keepLines/>
        <w:spacing w:before="0" w:after="200"/>
      </w:pPr>
      <w:r>
        <w:rPr>
          <w:b/>
        </w:rPr>
        <w:t>Strane 1 i 2 čine obrazac. Ovu stranu sa uputstvom možete zadržati za sebe.</w:t>
      </w:r>
    </w:p>
    <w:p>
      <w:pPr>
        <w:pStyle w:val="Heading1"/>
      </w:pPr>
      <w:r>
        <w:t>Namena obrasca</w:t>
      </w:r>
    </w:p>
    <w:p>
      <w:pPr>
        <w:keepNext w:val="0"/>
        <w:keepLines/>
        <w:spacing w:before="0" w:after="80"/>
      </w:pPr>
      <w:r>
        <w:rPr>
          <w:b w:val="0"/>
        </w:rPr>
        <w:t>Obrazac služi građaninu da policiji ili nadležnom javnom tužilaštvu saopšti činjenice o uočenoj nepravilnosti. Nije potrebno da sami odredite krivično delo ili navedete član zakona. Organ ocenjuje sadržaj i odlučuje kako će podnesak evidentirati i po njemu postupiti; sam naziv „obaveštenje” ne određuje njegov pravni karakter.</w:t>
      </w:r>
    </w:p>
    <w:p>
      <w:pPr>
        <w:pStyle w:val="Heading1"/>
      </w:pPr>
      <w:r>
        <w:t>Kako da popunite obrazac</w:t>
      </w:r>
    </w:p>
    <w:p>
      <w:pPr>
        <w:pStyle w:val="ListBullet"/>
        <w:spacing w:after="100" w:line="252" w:lineRule="auto"/>
      </w:pPr>
      <w:r>
        <w:t>Unesite mesto, vreme i konkretne radnje. U odeljku 3 navedite neposredna opažanja, a u odeljku 4 informacije dobijene od drugih. Napišite kada nešto ne znate ili niste sigurni.</w:t>
      </w:r>
    </w:p>
    <w:p>
      <w:pPr>
        <w:pStyle w:val="ListBullet"/>
        <w:spacing w:after="100" w:line="252" w:lineRule="auto"/>
      </w:pPr>
      <w:r>
        <w:t>Unesite samo poznate i potrebne podatke. Telefon i imejl su po izboru; obrazac ne traži JMBG ni broj lične karte. Kod svedoka navedite i kako ste došli do kontakta.</w:t>
      </w:r>
    </w:p>
    <w:p>
      <w:pPr>
        <w:pStyle w:val="ListBullet"/>
        <w:spacing w:after="100" w:line="252" w:lineRule="auto"/>
      </w:pPr>
      <w:r>
        <w:t>Priloge numerišite i sačuvajte izvorne datoteke ili dokumente. Objasnite poreklo snimka, fotografije, poruke ili dokumenta. Ne menjajte sadržaj dokaza i ne izlažite sebe ili druge opasnosti radi njihovog pribavljanja.</w:t>
      </w:r>
    </w:p>
    <w:p>
      <w:pPr>
        <w:pStyle w:val="ListBullet"/>
        <w:spacing w:after="100" w:line="252" w:lineRule="auto"/>
      </w:pPr>
      <w:r>
        <w:t>Za događaj u inostranstvu obavezno upišite državu, mesto, biračko mesto ili drugu lokaciju i lokalno vreme. Za nepoznat podatak upišite „nije poznato”.</w:t>
      </w:r>
    </w:p>
    <w:p>
      <w:pPr>
        <w:pStyle w:val="Heading1"/>
      </w:pPr>
      <w:r>
        <w:t>Predaja i dokaz o obraćanju</w:t>
      </w:r>
    </w:p>
    <w:p>
      <w:pPr>
        <w:keepNext w:val="0"/>
        <w:keepLines/>
        <w:spacing w:before="0" w:after="80"/>
      </w:pPr>
      <w:r>
        <w:rPr>
          <w:b w:val="0"/>
        </w:rPr>
        <w:t>Predajte popunjen obrazac nadležnoj policijskoj stanici ili javnom tužilaštvu, odnosno pošaljite ga na zvaničnu adresu organa koju ste prethodno proverili. Sačuvajte kopiju, priloge i dokaz o predaji. Pri neposrednoj predaji možete zatražiti potvrdu prijema ili broj pod kojim je podnesak evidentiran.</w:t>
      </w:r>
    </w:p>
    <w:p>
      <w:pPr>
        <w:pStyle w:val="Heading1"/>
      </w:pPr>
      <w:r>
        <w:t>Zaštita izbornog prava i hitne situacije</w:t>
      </w:r>
    </w:p>
    <w:p>
      <w:pPr>
        <w:keepNext w:val="0"/>
        <w:keepLines/>
        <w:spacing w:before="0" w:after="80"/>
      </w:pPr>
      <w:r>
        <w:rPr>
          <w:b w:val="0"/>
        </w:rPr>
        <w:t>Ovo obaveštenje policiji ili tužilaštvu ne zamenjuje zahtev za poništavanje glasanja, prigovor ili žalbu i ne zaustavlja njihove rokove. Za zaštitu izbornog prava posebno proverite nadležni izborni organ, ovlašćenje za podnošenje i rok koji važi za konkretan slučaj.</w:t>
      </w:r>
    </w:p>
    <w:p>
      <w:pPr>
        <w:keepNext w:val="0"/>
        <w:keepLines/>
        <w:spacing w:before="0" w:after="80"/>
      </w:pPr>
      <w:r>
        <w:rPr>
          <w:b w:val="0"/>
        </w:rPr>
        <w:t>Ako je u Srbiji u toku nasilje, pretnja ili neposredna opasnost, odmah pozovite policiju na 192. Popunjavanje obrasca ne treba da odloži traženje pomoći. U inostranstvu se za neposrednu opasnost obratite lokalnim nadležnim službama.</w:t>
      </w:r>
    </w:p>
    <w:p>
      <w:pPr>
        <w:pStyle w:val="Heading1"/>
      </w:pPr>
      <w:r>
        <w:t>Zvanični izvori</w:t>
      </w:r>
    </w:p>
    <w:p>
      <w:pPr>
        <w:spacing w:after="60"/>
      </w:pPr>
      <w:hyperlink r:id="rId9">
        <w:r>
          <w:rPr>
            <w:color w:val="000000"/>
            <w:u w:val="single"/>
            <w:sz w:val="19"/>
          </w:rPr>
          <w:t>Zakonik o krivičnom postupku</w:t>
        </w:r>
      </w:hyperlink>
      <w:r>
        <w:rPr>
          <w:sz w:val="19"/>
        </w:rPr>
        <w:t xml:space="preserve"> — način saopštavanja činjenica i postupanje organa, čl. 280–282</w:t>
      </w:r>
    </w:p>
    <w:p>
      <w:pPr>
        <w:spacing w:after="60"/>
      </w:pPr>
      <w:hyperlink r:id="rId10">
        <w:r>
          <w:rPr>
            <w:color w:val="000000"/>
            <w:u w:val="single"/>
            <w:sz w:val="19"/>
          </w:rPr>
          <w:t>Zakon o izboru narodnih poslanika</w:t>
        </w:r>
      </w:hyperlink>
      <w:r>
        <w:rPr>
          <w:sz w:val="19"/>
        </w:rPr>
        <w:t xml:space="preserve"> — zaštita izbornog prava, čl. 147–150 i 152</w:t>
      </w:r>
    </w:p>
    <w:p>
      <w:pPr>
        <w:spacing w:after="60"/>
      </w:pPr>
      <w:hyperlink r:id="rId11">
        <w:r>
          <w:rPr>
            <w:color w:val="000000"/>
            <w:u w:val="single"/>
            <w:sz w:val="19"/>
          </w:rPr>
          <w:t>Izmene Zakona o izboru narodnih poslanika iz 2026</w:t>
        </w:r>
      </w:hyperlink>
      <w:r>
        <w:rPr>
          <w:sz w:val="19"/>
        </w:rPr>
        <w:t xml:space="preserve"> — Narodna skupština Republike Srbije</w:t>
      </w:r>
    </w:p>
    <w:p>
      <w:pPr>
        <w:spacing w:after="60"/>
      </w:pPr>
      <w:hyperlink r:id="rId12">
        <w:r>
          <w:rPr>
            <w:color w:val="000000"/>
            <w:u w:val="single"/>
            <w:sz w:val="19"/>
          </w:rPr>
          <w:t>Vlada Srbije o brojevima hitnih službi</w:t>
        </w:r>
      </w:hyperlink>
      <w:r>
        <w:rPr>
          <w:sz w:val="19"/>
        </w:rPr>
        <w:t xml:space="preserve"> — policija 192</w:t>
      </w:r>
    </w:p>
    <w:sectPr w:rsidR="00FC693F" w:rsidRPr="0006063C" w:rsidSect="00034616">
      <w:footerReference w:type="default" r:id="rId13"/>
      <w:pgSz w:w="11906" w:h="16838"/>
      <w:pgMar w:top="964" w:right="1020" w:bottom="907" w:left="1020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865" w:val="right"/>
      </w:tabs>
      <w:spacing w:after="0"/>
    </w:pPr>
    <w:r>
      <w:rPr>
        <w:sz w:val="17"/>
      </w:rPr>
      <w:t>Obrazac za građane</w:t>
      <w:tab/>
      <w:t xml:space="preserve">Strana </w:t>
    </w:r>
    <w:r>
      <w:rPr>
        <w:sz w:val="17"/>
      </w:rPr>
      <w:fldChar w:fldCharType="begin"/>
      <w:instrText xml:space="preserve"> PAGE </w:instrText>
      <w:fldChar w:fldCharType="end"/>
    </w:r>
    <w:r>
      <w:rPr>
        <w:sz w:val="17"/>
      </w:rPr>
      <w:t xml:space="preserve"> od </w:t>
    </w:r>
    <w:r>
      <w:rPr>
        <w:sz w:val="17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 w:eastAsia="Arial" w:cs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uzilastvorz.org.rs/public/files/pages/2021-06/zkp_%D0%9D.pdf" TargetMode="External"/><Relationship Id="rId10" Type="http://schemas.openxmlformats.org/officeDocument/2006/relationships/hyperlink" Target="https://www.rik.parlament.gov.rs/extfile/sr/41916/Zakon%20o%20izboru%20narodnih%20poslanika.pdf" TargetMode="External"/><Relationship Id="rId11" Type="http://schemas.openxmlformats.org/officeDocument/2006/relationships/hyperlink" Target="https://www.parlament.gov.rs/upload/archive/files/lat/pdf/zakoni/14_saziv/1551-26-LAT..pdf" TargetMode="External"/><Relationship Id="rId12" Type="http://schemas.openxmlformats.org/officeDocument/2006/relationships/hyperlink" Target="https://www.srbija.gov.rs/vest/172034/od-21-maja-telefoni-hitnih-sluzbi-192-193-i-194.php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uočene izborne nepravilnosti</dc:title>
  <dc:subject>Obrazac obaveštenja građanina nadležnom organu</dc:subject>
  <dc:creator/>
  <cp:keywords>izbori, nepravilnost, građanin, obaveštenje, obrazac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